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300" w:lineRule="auto"/>
        <w:jc w:val="center"/>
        <w:rPr>
          <w:rFonts w:ascii="Lato" w:cs="Lato" w:eastAsia="Lato" w:hAnsi="Lato"/>
          <w:b w:val="1"/>
          <w:color w:val="333333"/>
          <w:sz w:val="32"/>
          <w:szCs w:val="32"/>
        </w:rPr>
      </w:pPr>
      <w:bookmarkStart w:colFirst="0" w:colLast="0" w:name="_5zrekrmpzuse" w:id="0"/>
      <w:bookmarkEnd w:id="0"/>
      <w:r w:rsidDel="00000000" w:rsidR="00000000" w:rsidRPr="00000000">
        <w:rPr>
          <w:rFonts w:ascii="Lato" w:cs="Lato" w:eastAsia="Lato" w:hAnsi="Lato"/>
          <w:b w:val="1"/>
          <w:color w:val="333333"/>
          <w:sz w:val="32"/>
          <w:szCs w:val="32"/>
        </w:rPr>
        <w:drawing>
          <wp:inline distB="114300" distT="114300" distL="114300" distR="114300">
            <wp:extent cx="1090613" cy="1168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0613" cy="1168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300" w:lineRule="auto"/>
        <w:jc w:val="center"/>
        <w:rPr>
          <w:rFonts w:ascii="Lato" w:cs="Lato" w:eastAsia="Lato" w:hAnsi="Lato"/>
          <w:b w:val="1"/>
          <w:color w:val="333333"/>
          <w:sz w:val="32"/>
          <w:szCs w:val="32"/>
        </w:rPr>
      </w:pPr>
      <w:bookmarkStart w:colFirst="0" w:colLast="0" w:name="_vky4lzin3pa5" w:id="1"/>
      <w:bookmarkEnd w:id="1"/>
      <w:r w:rsidDel="00000000" w:rsidR="00000000" w:rsidRPr="00000000">
        <w:rPr>
          <w:rtl w:val="0"/>
        </w:rPr>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300" w:lineRule="auto"/>
        <w:jc w:val="center"/>
        <w:rPr>
          <w:rFonts w:ascii="Lato" w:cs="Lato" w:eastAsia="Lato" w:hAnsi="Lato"/>
          <w:b w:val="1"/>
          <w:color w:val="333333"/>
          <w:sz w:val="32"/>
          <w:szCs w:val="32"/>
        </w:rPr>
      </w:pPr>
      <w:bookmarkStart w:colFirst="0" w:colLast="0" w:name="_lgymspxy2qtt" w:id="2"/>
      <w:bookmarkEnd w:id="2"/>
      <w:r w:rsidDel="00000000" w:rsidR="00000000" w:rsidRPr="00000000">
        <w:rPr>
          <w:rFonts w:ascii="Lato" w:cs="Lato" w:eastAsia="Lato" w:hAnsi="Lato"/>
          <w:b w:val="1"/>
          <w:color w:val="333333"/>
          <w:sz w:val="32"/>
          <w:szCs w:val="32"/>
          <w:rtl w:val="0"/>
        </w:rPr>
        <w:t xml:space="preserve">MAHMOUD EID GRADUATE PRIZE • </w:t>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300" w:lineRule="auto"/>
        <w:jc w:val="center"/>
        <w:rPr>
          <w:rFonts w:ascii="Lato" w:cs="Lato" w:eastAsia="Lato" w:hAnsi="Lato"/>
          <w:b w:val="1"/>
          <w:color w:val="333333"/>
          <w:sz w:val="32"/>
          <w:szCs w:val="32"/>
        </w:rPr>
      </w:pPr>
      <w:bookmarkStart w:colFirst="0" w:colLast="0" w:name="_pylzzcml00h4" w:id="3"/>
      <w:bookmarkEnd w:id="3"/>
      <w:r w:rsidDel="00000000" w:rsidR="00000000" w:rsidRPr="00000000">
        <w:rPr>
          <w:rFonts w:ascii="Lato" w:cs="Lato" w:eastAsia="Lato" w:hAnsi="Lato"/>
          <w:b w:val="1"/>
          <w:color w:val="333333"/>
          <w:sz w:val="32"/>
          <w:szCs w:val="32"/>
          <w:rtl w:val="0"/>
        </w:rPr>
        <w:t xml:space="preserve">PRIX MAHMOUD EID</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360" w:lineRule="auto"/>
        <w:jc w:val="center"/>
        <w:rPr>
          <w:rFonts w:ascii="Lato" w:cs="Lato" w:eastAsia="Lato" w:hAnsi="Lato"/>
          <w:color w:val="333333"/>
          <w:sz w:val="32"/>
          <w:szCs w:val="32"/>
        </w:rPr>
      </w:pPr>
      <w:r w:rsidDel="00000000" w:rsidR="00000000" w:rsidRPr="00000000">
        <w:rPr>
          <w:rFonts w:ascii="Lato" w:cs="Lato" w:eastAsia="Lato" w:hAnsi="Lato"/>
          <w:color w:val="333333"/>
          <w:sz w:val="32"/>
          <w:szCs w:val="32"/>
          <w:rtl w:val="0"/>
        </w:rPr>
        <w:t xml:space="preserve">Terms of Reference (updated october 2024)</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color w:val="333333"/>
          <w:sz w:val="24"/>
          <w:szCs w:val="24"/>
        </w:rPr>
      </w:pPr>
      <w:r w:rsidDel="00000000" w:rsidR="00000000" w:rsidRPr="00000000">
        <w:rPr>
          <w:rFonts w:ascii="Lato" w:cs="Lato" w:eastAsia="Lato" w:hAnsi="Lato"/>
          <w:color w:val="333333"/>
          <w:sz w:val="24"/>
          <w:szCs w:val="24"/>
          <w:rtl w:val="0"/>
        </w:rPr>
        <w:t xml:space="preserve">The </w:t>
      </w:r>
      <w:r w:rsidDel="00000000" w:rsidR="00000000" w:rsidRPr="00000000">
        <w:rPr>
          <w:rFonts w:ascii="Lato" w:cs="Lato" w:eastAsia="Lato" w:hAnsi="Lato"/>
          <w:b w:val="1"/>
          <w:color w:val="333333"/>
          <w:sz w:val="24"/>
          <w:szCs w:val="24"/>
          <w:rtl w:val="0"/>
        </w:rPr>
        <w:t xml:space="preserve">Mahmoud Eid Graduate Prize</w:t>
      </w:r>
      <w:r w:rsidDel="00000000" w:rsidR="00000000" w:rsidRPr="00000000">
        <w:rPr>
          <w:rFonts w:ascii="Lato" w:cs="Lato" w:eastAsia="Lato" w:hAnsi="Lato"/>
          <w:color w:val="333333"/>
          <w:sz w:val="24"/>
          <w:szCs w:val="24"/>
          <w:rtl w:val="0"/>
        </w:rPr>
        <w:t xml:space="preserve"> is sponsored by the family of the late Dr. Mahmoud Eid to honour his internationally recognized research investigating media, ethics, and diversity in Canada.</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color w:val="333333"/>
          <w:sz w:val="24"/>
          <w:szCs w:val="24"/>
        </w:rPr>
      </w:pPr>
      <w:r w:rsidDel="00000000" w:rsidR="00000000" w:rsidRPr="00000000">
        <w:rPr>
          <w:rFonts w:ascii="Lato" w:cs="Lato" w:eastAsia="Lato" w:hAnsi="Lato"/>
          <w:color w:val="333333"/>
          <w:sz w:val="24"/>
          <w:szCs w:val="24"/>
          <w:rtl w:val="0"/>
        </w:rPr>
        <w:t xml:space="preserve">A $500 award is presented to the best graduate-level (Master’s or PhD) student paper submitted to the Canadian Communication Association (CCA) annual conference that focuses on media and diversity in Canada, as it pertains to race, religion, and/or Indigeneity. The award is offered until at least 2025 and will then be subject to review by the CCA and representatives of the Eid estate. In the event that the funding is not awarded in one year, the funds will be carried over to the subsequent year.</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Purpose</w:t>
      </w:r>
    </w:p>
    <w:p w:rsidR="00000000" w:rsidDel="00000000" w:rsidP="00000000" w:rsidRDefault="00000000" w:rsidRPr="00000000" w14:paraId="00000009">
      <w:pPr>
        <w:numPr>
          <w:ilvl w:val="0"/>
          <w:numId w:val="1"/>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Recognize and honour the most promising graduate-level research investigating media and diversity in Canada;</w:t>
      </w:r>
    </w:p>
    <w:p w:rsidR="00000000" w:rsidDel="00000000" w:rsidP="00000000" w:rsidRDefault="00000000" w:rsidRPr="00000000" w14:paraId="0000000A">
      <w:pPr>
        <w:numPr>
          <w:ilvl w:val="0"/>
          <w:numId w:val="1"/>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Promote scholarly excellence in the fields of communications, culture, and media studies;</w:t>
      </w:r>
    </w:p>
    <w:p w:rsidR="00000000" w:rsidDel="00000000" w:rsidP="00000000" w:rsidRDefault="00000000" w:rsidRPr="00000000" w14:paraId="0000000B">
      <w:pPr>
        <w:numPr>
          <w:ilvl w:val="0"/>
          <w:numId w:val="1"/>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Raise the profile of graduate-level research activity investigating media and diversity in Canada;</w:t>
      </w:r>
    </w:p>
    <w:p w:rsidR="00000000" w:rsidDel="00000000" w:rsidP="00000000" w:rsidRDefault="00000000" w:rsidRPr="00000000" w14:paraId="0000000C">
      <w:pPr>
        <w:numPr>
          <w:ilvl w:val="0"/>
          <w:numId w:val="1"/>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Stimulate advanced graduate-level research to enhance dialogue regarding the intersection between media and race, religion and/or Indigeneity; </w:t>
      </w:r>
    </w:p>
    <w:p w:rsidR="00000000" w:rsidDel="00000000" w:rsidP="00000000" w:rsidRDefault="00000000" w:rsidRPr="00000000" w14:paraId="0000000D">
      <w:pPr>
        <w:numPr>
          <w:ilvl w:val="0"/>
          <w:numId w:val="1"/>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Promote a new generation of researchers working on issues of relevance to media ethics and accountability.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Description of the award</w:t>
      </w:r>
    </w:p>
    <w:p w:rsidR="00000000" w:rsidDel="00000000" w:rsidP="00000000" w:rsidRDefault="00000000" w:rsidRPr="00000000" w14:paraId="0000000F">
      <w:pPr>
        <w:numPr>
          <w:ilvl w:val="0"/>
          <w:numId w:val="9"/>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A $500 monetary prize;</w:t>
      </w:r>
    </w:p>
    <w:p w:rsidR="00000000" w:rsidDel="00000000" w:rsidP="00000000" w:rsidRDefault="00000000" w:rsidRPr="00000000" w14:paraId="00000010">
      <w:pPr>
        <w:numPr>
          <w:ilvl w:val="0"/>
          <w:numId w:val="9"/>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Opportunity to present the winning paper in English or French at the CCA’s annual conference as part of the regular program schedule (NOTE:</w:t>
      </w:r>
      <w:r w:rsidDel="00000000" w:rsidR="00000000" w:rsidRPr="00000000">
        <w:rPr>
          <w:rFonts w:ascii="Lato" w:cs="Lato" w:eastAsia="Lato" w:hAnsi="Lato"/>
          <w:i w:val="1"/>
          <w:color w:val="333333"/>
          <w:sz w:val="24"/>
          <w:szCs w:val="24"/>
          <w:rtl w:val="0"/>
        </w:rPr>
        <w:t xml:space="preserve"> The award does not cover the costs incurred by the winner(s) to attend and participate in the conference</w:t>
      </w:r>
      <w:r w:rsidDel="00000000" w:rsidR="00000000" w:rsidRPr="00000000">
        <w:rPr>
          <w:rFonts w:ascii="Lato" w:cs="Lato" w:eastAsia="Lato" w:hAnsi="Lato"/>
          <w:color w:val="333333"/>
          <w:sz w:val="24"/>
          <w:szCs w:val="24"/>
          <w:rtl w:val="0"/>
        </w:rPr>
        <w:t xml:space="preserve">); </w:t>
      </w:r>
    </w:p>
    <w:p w:rsidR="00000000" w:rsidDel="00000000" w:rsidP="00000000" w:rsidRDefault="00000000" w:rsidRPr="00000000" w14:paraId="00000011">
      <w:pPr>
        <w:numPr>
          <w:ilvl w:val="0"/>
          <w:numId w:val="9"/>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Publication of the winning paper in the </w:t>
      </w:r>
      <w:r w:rsidDel="00000000" w:rsidR="00000000" w:rsidRPr="00000000">
        <w:rPr>
          <w:rFonts w:ascii="Lato" w:cs="Lato" w:eastAsia="Lato" w:hAnsi="Lato"/>
          <w:i w:val="1"/>
          <w:color w:val="333333"/>
          <w:sz w:val="24"/>
          <w:szCs w:val="24"/>
          <w:rtl w:val="0"/>
        </w:rPr>
        <w:t xml:space="preserve">Global Media Journal – Canadian Editio</w:t>
      </w:r>
      <w:r w:rsidDel="00000000" w:rsidR="00000000" w:rsidRPr="00000000">
        <w:rPr>
          <w:rFonts w:ascii="Lato" w:cs="Lato" w:eastAsia="Lato" w:hAnsi="Lato"/>
          <w:color w:val="333333"/>
          <w:sz w:val="24"/>
          <w:szCs w:val="24"/>
          <w:rtl w:val="0"/>
        </w:rPr>
        <w:t xml:space="preserve">n in a special section.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Who is eligible?</w:t>
      </w:r>
    </w:p>
    <w:p w:rsidR="00000000" w:rsidDel="00000000" w:rsidP="00000000" w:rsidRDefault="00000000" w:rsidRPr="00000000" w14:paraId="00000013">
      <w:pPr>
        <w:numPr>
          <w:ilvl w:val="0"/>
          <w:numId w:val="10"/>
        </w:numPr>
        <w:spacing w:after="0" w:afterAutospacing="0" w:lineRule="auto"/>
        <w:ind w:left="1440" w:hanging="360"/>
      </w:pPr>
      <w:r w:rsidDel="00000000" w:rsidR="00000000" w:rsidRPr="00000000">
        <w:rPr>
          <w:rFonts w:ascii="Lato" w:cs="Lato" w:eastAsia="Lato" w:hAnsi="Lato"/>
          <w:color w:val="333333"/>
          <w:sz w:val="24"/>
          <w:szCs w:val="24"/>
          <w:rtl w:val="0"/>
        </w:rPr>
        <w:t xml:space="preserve">Students enrolled in a graduate program in communications or a related field (e.g., public policy, law, engineering, information studies) at a Canadian university; </w:t>
      </w:r>
      <w:r w:rsidDel="00000000" w:rsidR="00000000" w:rsidRPr="00000000">
        <w:rPr>
          <w:rFonts w:ascii="Lato" w:cs="Lato" w:eastAsia="Lato" w:hAnsi="Lato"/>
          <w:b w:val="1"/>
          <w:color w:val="333333"/>
          <w:sz w:val="24"/>
          <w:szCs w:val="24"/>
          <w:rtl w:val="0"/>
        </w:rPr>
        <w:t xml:space="preserve">or</w:t>
      </w:r>
    </w:p>
    <w:p w:rsidR="00000000" w:rsidDel="00000000" w:rsidP="00000000" w:rsidRDefault="00000000" w:rsidRPr="00000000" w14:paraId="00000014">
      <w:pPr>
        <w:numPr>
          <w:ilvl w:val="0"/>
          <w:numId w:val="10"/>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Canadian students (including permanent residents and landed immigrant students) enrolled in a graduate program in communications or a related field in another country.</w:t>
      </w:r>
    </w:p>
    <w:p w:rsidR="00000000" w:rsidDel="00000000" w:rsidP="00000000" w:rsidRDefault="00000000" w:rsidRPr="00000000" w14:paraId="00000015">
      <w:pPr>
        <w:numPr>
          <w:ilvl w:val="0"/>
          <w:numId w:val="10"/>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Applicants must be fully paid-up members of the CCA at the time of submission.</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How to participate</w:t>
      </w:r>
    </w:p>
    <w:p w:rsidR="00000000" w:rsidDel="00000000" w:rsidP="00000000" w:rsidRDefault="00000000" w:rsidRPr="00000000" w14:paraId="00000017">
      <w:pPr>
        <w:numPr>
          <w:ilvl w:val="0"/>
          <w:numId w:val="2"/>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Sole and co-authored articles can be submitted in either English or French;</w:t>
      </w:r>
    </w:p>
    <w:p w:rsidR="00000000" w:rsidDel="00000000" w:rsidP="00000000" w:rsidRDefault="00000000" w:rsidRPr="00000000" w14:paraId="00000018">
      <w:pPr>
        <w:numPr>
          <w:ilvl w:val="0"/>
          <w:numId w:val="2"/>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Participants must submit their article to the head of the selection committee (the President of CCA) by the deadline as set out in the call for contributions and as indicated on the CCA website;</w:t>
      </w:r>
    </w:p>
    <w:p w:rsidR="00000000" w:rsidDel="00000000" w:rsidP="00000000" w:rsidRDefault="00000000" w:rsidRPr="00000000" w14:paraId="00000019">
      <w:pPr>
        <w:numPr>
          <w:ilvl w:val="0"/>
          <w:numId w:val="2"/>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Articles must be submitted in PDF or Word format;</w:t>
      </w:r>
    </w:p>
    <w:p w:rsidR="00000000" w:rsidDel="00000000" w:rsidP="00000000" w:rsidRDefault="00000000" w:rsidRPr="00000000" w14:paraId="0000001A">
      <w:pPr>
        <w:numPr>
          <w:ilvl w:val="0"/>
          <w:numId w:val="2"/>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Only articles between 3,000 to 4,000 words (bibliography excluded) that adhere to recognized scholarly presentation format will be considered; and</w:t>
      </w:r>
    </w:p>
    <w:p w:rsidR="00000000" w:rsidDel="00000000" w:rsidP="00000000" w:rsidRDefault="00000000" w:rsidRPr="00000000" w14:paraId="0000001B">
      <w:pPr>
        <w:numPr>
          <w:ilvl w:val="0"/>
          <w:numId w:val="2"/>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The cover page must include: the title of the article, as well as the author’s name, contact information (email address, postal address, and telephone number), university affiliation and degree status.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color w:val="333333"/>
          <w:sz w:val="24"/>
          <w:szCs w:val="24"/>
        </w:rPr>
      </w:pPr>
      <w:r w:rsidDel="00000000" w:rsidR="00000000" w:rsidRPr="00000000">
        <w:rPr>
          <w:rFonts w:ascii="Lato" w:cs="Lato" w:eastAsia="Lato" w:hAnsi="Lato"/>
          <w:color w:val="333333"/>
          <w:sz w:val="24"/>
          <w:szCs w:val="24"/>
          <w:rtl w:val="0"/>
        </w:rPr>
        <w:t xml:space="preserve">Papers should be sent electronically to the current President of the Canadian Communication Association.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Selection committee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color w:val="333333"/>
          <w:sz w:val="24"/>
          <w:szCs w:val="24"/>
        </w:rPr>
      </w:pPr>
      <w:r w:rsidDel="00000000" w:rsidR="00000000" w:rsidRPr="00000000">
        <w:rPr>
          <w:rFonts w:ascii="Lato" w:cs="Lato" w:eastAsia="Lato" w:hAnsi="Lato"/>
          <w:color w:val="333333"/>
          <w:sz w:val="24"/>
          <w:szCs w:val="24"/>
          <w:rtl w:val="0"/>
        </w:rPr>
        <w:t xml:space="preserve">The committee will be made up of no less than five members:</w:t>
      </w:r>
    </w:p>
    <w:p w:rsidR="00000000" w:rsidDel="00000000" w:rsidP="00000000" w:rsidRDefault="00000000" w:rsidRPr="00000000" w14:paraId="00000020">
      <w:pPr>
        <w:numPr>
          <w:ilvl w:val="0"/>
          <w:numId w:val="6"/>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CCA President (or a member of the Executive, or member of Board of Directors, or if deemed appropriate a non-Board member of the CCA whose membership with the association is in good standing);</w:t>
      </w:r>
    </w:p>
    <w:p w:rsidR="00000000" w:rsidDel="00000000" w:rsidP="00000000" w:rsidRDefault="00000000" w:rsidRPr="00000000" w14:paraId="00000021">
      <w:pPr>
        <w:numPr>
          <w:ilvl w:val="0"/>
          <w:numId w:val="6"/>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One member from the Eid Family (or a delegate) who does not have voting rights;</w:t>
      </w:r>
    </w:p>
    <w:p w:rsidR="00000000" w:rsidDel="00000000" w:rsidP="00000000" w:rsidRDefault="00000000" w:rsidRPr="00000000" w14:paraId="00000022">
      <w:pPr>
        <w:numPr>
          <w:ilvl w:val="0"/>
          <w:numId w:val="6"/>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One member from the National Council of Canadian Muslims (NCCM) or a delegate; and</w:t>
      </w:r>
    </w:p>
    <w:p w:rsidR="00000000" w:rsidDel="00000000" w:rsidP="00000000" w:rsidRDefault="00000000" w:rsidRPr="00000000" w14:paraId="00000023">
      <w:pPr>
        <w:numPr>
          <w:ilvl w:val="0"/>
          <w:numId w:val="6"/>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Two members of the Communication Studies professoriate with recognized expertise in the topic area of media and diversity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i w:val="1"/>
          <w:color w:val="333333"/>
          <w:sz w:val="24"/>
          <w:szCs w:val="24"/>
        </w:rPr>
      </w:pPr>
      <w:r w:rsidDel="00000000" w:rsidR="00000000" w:rsidRPr="00000000">
        <w:rPr>
          <w:rFonts w:ascii="Lato" w:cs="Lato" w:eastAsia="Lato" w:hAnsi="Lato"/>
          <w:i w:val="1"/>
          <w:color w:val="333333"/>
          <w:sz w:val="24"/>
          <w:szCs w:val="24"/>
          <w:rtl w:val="0"/>
        </w:rPr>
        <w:t xml:space="preserve">These Terms of Reference have been updated in October 2024.</w:t>
      </w:r>
    </w:p>
    <w:p w:rsidR="00000000" w:rsidDel="00000000" w:rsidP="00000000" w:rsidRDefault="00000000" w:rsidRPr="00000000" w14:paraId="00000025">
      <w:pPr>
        <w:rPr>
          <w:rFonts w:ascii="Lato" w:cs="Lato" w:eastAsia="Lato" w:hAnsi="Lato"/>
          <w:color w:val="333333"/>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color w:val="333333"/>
          <w:sz w:val="24"/>
          <w:szCs w:val="24"/>
        </w:rPr>
      </w:pPr>
      <w:r w:rsidDel="00000000" w:rsidR="00000000" w:rsidRPr="00000000">
        <w:rPr>
          <w:rFonts w:ascii="Lato" w:cs="Lato" w:eastAsia="Lato" w:hAnsi="Lato"/>
          <w:color w:val="333333"/>
          <w:sz w:val="24"/>
          <w:szCs w:val="24"/>
          <w:rtl w:val="0"/>
        </w:rPr>
        <w:t xml:space="preserve">Le </w:t>
      </w:r>
      <w:r w:rsidDel="00000000" w:rsidR="00000000" w:rsidRPr="00000000">
        <w:rPr>
          <w:rFonts w:ascii="Lato" w:cs="Lato" w:eastAsia="Lato" w:hAnsi="Lato"/>
          <w:b w:val="1"/>
          <w:color w:val="333333"/>
          <w:sz w:val="24"/>
          <w:szCs w:val="24"/>
          <w:rtl w:val="0"/>
        </w:rPr>
        <w:t xml:space="preserve">prix Mahmoud Eid </w:t>
      </w:r>
      <w:r w:rsidDel="00000000" w:rsidR="00000000" w:rsidRPr="00000000">
        <w:rPr>
          <w:rFonts w:ascii="Lato" w:cs="Lato" w:eastAsia="Lato" w:hAnsi="Lato"/>
          <w:color w:val="333333"/>
          <w:sz w:val="24"/>
          <w:szCs w:val="24"/>
          <w:rtl w:val="0"/>
        </w:rPr>
        <w:t xml:space="preserve">est parrainé par la famille du regretté professeur Mahmoud Eid, dont les recherches sont reconnues à l’échelle nationale et internationale. Ce prix honore ses travaux dans le domaine des médias, de l’éthique et de la diversité au Canada.</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color w:val="333333"/>
          <w:sz w:val="24"/>
          <w:szCs w:val="24"/>
        </w:rPr>
      </w:pPr>
      <w:r w:rsidDel="00000000" w:rsidR="00000000" w:rsidRPr="00000000">
        <w:rPr>
          <w:rFonts w:ascii="Lato" w:cs="Lato" w:eastAsia="Lato" w:hAnsi="Lato"/>
          <w:color w:val="333333"/>
          <w:sz w:val="24"/>
          <w:szCs w:val="24"/>
          <w:rtl w:val="0"/>
        </w:rPr>
        <w:t xml:space="preserve">Un prix de 500 $ est décerné au meilleur article soumis par un.e étudiant.e des études supérieures (maîtrise ou doctorat) au colloque annuel de l’Association canadienne de communication (ACC), portant sur les médias et la diversité raciale, religieuse et/ou autochtone au Canada. Le prix est offert jusqu’en 2025, date à laquelle le financement sera revu par l’ACC et les représentants de la succession du professeur Eid. Dans le cas où le financement n’est pas accordé au cours d’une année, les fonds seront reportés à l’année suivante.</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Objectif</w:t>
      </w:r>
    </w:p>
    <w:p w:rsidR="00000000" w:rsidDel="00000000" w:rsidP="00000000" w:rsidRDefault="00000000" w:rsidRPr="00000000" w14:paraId="00000029">
      <w:pPr>
        <w:numPr>
          <w:ilvl w:val="0"/>
          <w:numId w:val="5"/>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Reconnaître et honorer les recherches les plus prometteuses aux cycles supérieurs portant sur les médias et la diversité au Canada;</w:t>
      </w:r>
    </w:p>
    <w:p w:rsidR="00000000" w:rsidDel="00000000" w:rsidP="00000000" w:rsidRDefault="00000000" w:rsidRPr="00000000" w14:paraId="0000002A">
      <w:pPr>
        <w:numPr>
          <w:ilvl w:val="0"/>
          <w:numId w:val="5"/>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Promouvoir l’excellence académique dans les domaines de la communication, de la culture et des études médiatiques;</w:t>
      </w:r>
    </w:p>
    <w:p w:rsidR="00000000" w:rsidDel="00000000" w:rsidP="00000000" w:rsidRDefault="00000000" w:rsidRPr="00000000" w14:paraId="0000002B">
      <w:pPr>
        <w:numPr>
          <w:ilvl w:val="0"/>
          <w:numId w:val="5"/>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Rehausser le profil de recherche aux cycles supérieurs des questions entourant les médias et la diversité au Canada;</w:t>
      </w:r>
    </w:p>
    <w:p w:rsidR="00000000" w:rsidDel="00000000" w:rsidP="00000000" w:rsidRDefault="00000000" w:rsidRPr="00000000" w14:paraId="0000002C">
      <w:pPr>
        <w:numPr>
          <w:ilvl w:val="0"/>
          <w:numId w:val="5"/>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Stimuler la recherche au niveau des études supérieures pour améliorer le dialogue sur la relation entre les médias et les questions de diversité raciale, religieuse et/ou autochtone;</w:t>
      </w:r>
    </w:p>
    <w:p w:rsidR="00000000" w:rsidDel="00000000" w:rsidP="00000000" w:rsidRDefault="00000000" w:rsidRPr="00000000" w14:paraId="0000002D">
      <w:pPr>
        <w:numPr>
          <w:ilvl w:val="0"/>
          <w:numId w:val="5"/>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Promouvoir une nouvelle génération de chercheur.e.s travaillant sur des questions liées à l’éthique et à la responsabilité des médias.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Description du prix</w:t>
      </w:r>
    </w:p>
    <w:p w:rsidR="00000000" w:rsidDel="00000000" w:rsidP="00000000" w:rsidRDefault="00000000" w:rsidRPr="00000000" w14:paraId="0000002F">
      <w:pPr>
        <w:numPr>
          <w:ilvl w:val="0"/>
          <w:numId w:val="7"/>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Un prix monétaire de 500 $;</w:t>
      </w:r>
    </w:p>
    <w:p w:rsidR="00000000" w:rsidDel="00000000" w:rsidP="00000000" w:rsidRDefault="00000000" w:rsidRPr="00000000" w14:paraId="00000030">
      <w:pPr>
        <w:numPr>
          <w:ilvl w:val="0"/>
          <w:numId w:val="7"/>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Une occasion de présenter en anglais ou en français l’article de recherche gagnant lors du colloque annuel de l’ACC dans le cadre du programme régulier </w:t>
      </w:r>
      <w:r w:rsidDel="00000000" w:rsidR="00000000" w:rsidRPr="00000000">
        <w:rPr>
          <w:rFonts w:ascii="Lato" w:cs="Lato" w:eastAsia="Lato" w:hAnsi="Lato"/>
          <w:i w:val="1"/>
          <w:color w:val="333333"/>
          <w:sz w:val="24"/>
          <w:szCs w:val="24"/>
          <w:rtl w:val="0"/>
        </w:rPr>
        <w:t xml:space="preserve">(NOTE : le prix ne couvre pas les coûts encourus par le / les gagnant (s) pour participer à la conférence)</w:t>
      </w:r>
      <w:r w:rsidDel="00000000" w:rsidR="00000000" w:rsidRPr="00000000">
        <w:rPr>
          <w:rFonts w:ascii="Lato" w:cs="Lato" w:eastAsia="Lato" w:hAnsi="Lato"/>
          <w:color w:val="333333"/>
          <w:sz w:val="24"/>
          <w:szCs w:val="24"/>
          <w:rtl w:val="0"/>
        </w:rPr>
        <w:t xml:space="preserve">; </w:t>
      </w:r>
    </w:p>
    <w:p w:rsidR="00000000" w:rsidDel="00000000" w:rsidP="00000000" w:rsidRDefault="00000000" w:rsidRPr="00000000" w14:paraId="00000031">
      <w:pPr>
        <w:numPr>
          <w:ilvl w:val="0"/>
          <w:numId w:val="7"/>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Publication de l’article gagnant dans une section spéciale du </w:t>
      </w:r>
      <w:r w:rsidDel="00000000" w:rsidR="00000000" w:rsidRPr="00000000">
        <w:rPr>
          <w:rFonts w:ascii="Lato" w:cs="Lato" w:eastAsia="Lato" w:hAnsi="Lato"/>
          <w:i w:val="1"/>
          <w:color w:val="333333"/>
          <w:sz w:val="24"/>
          <w:szCs w:val="24"/>
          <w:rtl w:val="0"/>
        </w:rPr>
        <w:t xml:space="preserve">Global Media Journal</w:t>
      </w:r>
      <w:r w:rsidDel="00000000" w:rsidR="00000000" w:rsidRPr="00000000">
        <w:rPr>
          <w:rFonts w:ascii="Lato" w:cs="Lato" w:eastAsia="Lato" w:hAnsi="Lato"/>
          <w:color w:val="333333"/>
          <w:sz w:val="24"/>
          <w:szCs w:val="24"/>
          <w:rtl w:val="0"/>
        </w:rPr>
        <w:t xml:space="preserve"> </w:t>
      </w:r>
      <w:r w:rsidDel="00000000" w:rsidR="00000000" w:rsidRPr="00000000">
        <w:rPr>
          <w:rFonts w:ascii="Lato" w:cs="Lato" w:eastAsia="Lato" w:hAnsi="Lato"/>
          <w:i w:val="1"/>
          <w:color w:val="333333"/>
          <w:sz w:val="24"/>
          <w:szCs w:val="24"/>
          <w:rtl w:val="0"/>
        </w:rPr>
        <w:t xml:space="preserve">– Canadian Edition</w:t>
      </w:r>
      <w:r w:rsidDel="00000000" w:rsidR="00000000" w:rsidRPr="00000000">
        <w:rPr>
          <w:rFonts w:ascii="Lato" w:cs="Lato" w:eastAsia="Lato" w:hAnsi="Lato"/>
          <w:color w:val="333333"/>
          <w:sz w:val="24"/>
          <w:szCs w:val="24"/>
          <w:rtl w:val="0"/>
        </w:rPr>
        <w:t xml:space="preser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Qui est éligible?</w:t>
      </w:r>
    </w:p>
    <w:p w:rsidR="00000000" w:rsidDel="00000000" w:rsidP="00000000" w:rsidRDefault="00000000" w:rsidRPr="00000000" w14:paraId="00000033">
      <w:pPr>
        <w:numPr>
          <w:ilvl w:val="0"/>
          <w:numId w:val="8"/>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Étudiant.e.s inscrit.e.s dans un programme des études supérieures en communication ou dans un domaine connexe (p. ex. politiques publiques, droit, ingénierie, études d’information) dans une université canadienne;</w:t>
      </w:r>
    </w:p>
    <w:p w:rsidR="00000000" w:rsidDel="00000000" w:rsidP="00000000" w:rsidRDefault="00000000" w:rsidRPr="00000000" w14:paraId="00000034">
      <w:pPr>
        <w:numPr>
          <w:ilvl w:val="0"/>
          <w:numId w:val="8"/>
        </w:numPr>
        <w:spacing w:after="0" w:afterAutospacing="0" w:lineRule="auto"/>
        <w:ind w:left="1440" w:hanging="360"/>
      </w:pPr>
      <w:r w:rsidDel="00000000" w:rsidR="00000000" w:rsidRPr="00000000">
        <w:rPr>
          <w:rFonts w:ascii="Lato" w:cs="Lato" w:eastAsia="Lato" w:hAnsi="Lato"/>
          <w:b w:val="1"/>
          <w:color w:val="333333"/>
          <w:sz w:val="24"/>
          <w:szCs w:val="24"/>
          <w:rtl w:val="0"/>
        </w:rPr>
        <w:t xml:space="preserve">Ou</w:t>
      </w:r>
      <w:r w:rsidDel="00000000" w:rsidR="00000000" w:rsidRPr="00000000">
        <w:rPr>
          <w:rFonts w:ascii="Lato" w:cs="Lato" w:eastAsia="Lato" w:hAnsi="Lato"/>
          <w:color w:val="333333"/>
          <w:sz w:val="24"/>
          <w:szCs w:val="24"/>
          <w:rtl w:val="0"/>
        </w:rPr>
        <w:t xml:space="preserve"> étudiant.e.s canadien.e.s (y compris résidents permanents et immigrants reçus) inscrits à un programme des études supérieures en communications ou un domaine connexe dans un autre pays.</w:t>
      </w:r>
    </w:p>
    <w:p w:rsidR="00000000" w:rsidDel="00000000" w:rsidP="00000000" w:rsidRDefault="00000000" w:rsidRPr="00000000" w14:paraId="00000035">
      <w:pPr>
        <w:numPr>
          <w:ilvl w:val="0"/>
          <w:numId w:val="8"/>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Les candidat.e.s doivent avoir le statut de membre en règle de l’ACC au moment de la soumission.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Comment participer</w:t>
      </w:r>
    </w:p>
    <w:p w:rsidR="00000000" w:rsidDel="00000000" w:rsidP="00000000" w:rsidRDefault="00000000" w:rsidRPr="00000000" w14:paraId="00000037">
      <w:pPr>
        <w:numPr>
          <w:ilvl w:val="0"/>
          <w:numId w:val="3"/>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Les articles à auteur.e unique ou co-écrits peuvent être soumis en anglais ou en français;</w:t>
      </w:r>
    </w:p>
    <w:p w:rsidR="00000000" w:rsidDel="00000000" w:rsidP="00000000" w:rsidRDefault="00000000" w:rsidRPr="00000000" w14:paraId="00000038">
      <w:pPr>
        <w:numPr>
          <w:ilvl w:val="0"/>
          <w:numId w:val="3"/>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Les participant.e.s doivent soumettre leur article au président du comité de sélection dans les délais fixés dans l’appel à contributions et indiqués sur le site Web de l’ACC;</w:t>
      </w:r>
    </w:p>
    <w:p w:rsidR="00000000" w:rsidDel="00000000" w:rsidP="00000000" w:rsidRDefault="00000000" w:rsidRPr="00000000" w14:paraId="00000039">
      <w:pPr>
        <w:numPr>
          <w:ilvl w:val="0"/>
          <w:numId w:val="3"/>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Les articles doivent être soumis en format PDF ou Word;</w:t>
      </w:r>
    </w:p>
    <w:p w:rsidR="00000000" w:rsidDel="00000000" w:rsidP="00000000" w:rsidRDefault="00000000" w:rsidRPr="00000000" w14:paraId="0000003A">
      <w:pPr>
        <w:numPr>
          <w:ilvl w:val="0"/>
          <w:numId w:val="3"/>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Seuls les articles de 3 000 à 4 000 mots (sans la bibliographie) conformes au format de présentation académique reconnu seront pris en compte; </w:t>
      </w:r>
    </w:p>
    <w:p w:rsidR="00000000" w:rsidDel="00000000" w:rsidP="00000000" w:rsidRDefault="00000000" w:rsidRPr="00000000" w14:paraId="0000003B">
      <w:pPr>
        <w:numPr>
          <w:ilvl w:val="0"/>
          <w:numId w:val="3"/>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La page de couverture doit inclure : le titre de l’article, ainsi que le nom de l’auteur.e, ses coordonnées (adresse électronique, adresse postale et numéro de téléphone), son affiliation universitaire et l’état d’obtention de son diplôme ou l’actuel niveau d’études.</w:t>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color w:val="333333"/>
          <w:sz w:val="24"/>
          <w:szCs w:val="24"/>
        </w:rPr>
      </w:pPr>
      <w:r w:rsidDel="00000000" w:rsidR="00000000" w:rsidRPr="00000000">
        <w:rPr>
          <w:rFonts w:ascii="Lato" w:cs="Lato" w:eastAsia="Lato" w:hAnsi="Lato"/>
          <w:color w:val="333333"/>
          <w:sz w:val="24"/>
          <w:szCs w:val="24"/>
          <w:rtl w:val="0"/>
        </w:rPr>
        <w:t xml:space="preserve">Les participant-e-s devront soumettre leur article à président, Association canadienne de communication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b w:val="1"/>
          <w:color w:val="333333"/>
          <w:sz w:val="24"/>
          <w:szCs w:val="24"/>
        </w:rPr>
      </w:pPr>
      <w:r w:rsidDel="00000000" w:rsidR="00000000" w:rsidRPr="00000000">
        <w:rPr>
          <w:rFonts w:ascii="Lato" w:cs="Lato" w:eastAsia="Lato" w:hAnsi="Lato"/>
          <w:b w:val="1"/>
          <w:color w:val="333333"/>
          <w:sz w:val="24"/>
          <w:szCs w:val="24"/>
          <w:rtl w:val="0"/>
        </w:rPr>
        <w:t xml:space="preserve">Comité de sélection</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color w:val="333333"/>
          <w:sz w:val="24"/>
          <w:szCs w:val="24"/>
        </w:rPr>
      </w:pPr>
      <w:r w:rsidDel="00000000" w:rsidR="00000000" w:rsidRPr="00000000">
        <w:rPr>
          <w:rFonts w:ascii="Lato" w:cs="Lato" w:eastAsia="Lato" w:hAnsi="Lato"/>
          <w:color w:val="333333"/>
          <w:sz w:val="24"/>
          <w:szCs w:val="24"/>
          <w:rtl w:val="0"/>
        </w:rPr>
        <w:t xml:space="preserve">Le comité de sélection sera composé d’au moins cinq membres :</w:t>
      </w:r>
    </w:p>
    <w:p w:rsidR="00000000" w:rsidDel="00000000" w:rsidP="00000000" w:rsidRDefault="00000000" w:rsidRPr="00000000" w14:paraId="0000003F">
      <w:pPr>
        <w:numPr>
          <w:ilvl w:val="0"/>
          <w:numId w:val="4"/>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Le/La président.e de l’ACC (ou un membre de l’exécutif ou un membre du conseil d’administration ou, s’il est jugé approprié, un.e délégué.e non-membre du conseil de l’ACC dont l’adhésion à l’association est en règle);</w:t>
      </w:r>
    </w:p>
    <w:p w:rsidR="00000000" w:rsidDel="00000000" w:rsidP="00000000" w:rsidRDefault="00000000" w:rsidRPr="00000000" w14:paraId="00000040">
      <w:pPr>
        <w:numPr>
          <w:ilvl w:val="0"/>
          <w:numId w:val="4"/>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Un membre de la famille Eid (ou un délégué) qui n’a pas le droit de vote;</w:t>
      </w:r>
    </w:p>
    <w:p w:rsidR="00000000" w:rsidDel="00000000" w:rsidP="00000000" w:rsidRDefault="00000000" w:rsidRPr="00000000" w14:paraId="00000041">
      <w:pPr>
        <w:numPr>
          <w:ilvl w:val="0"/>
          <w:numId w:val="4"/>
        </w:numPr>
        <w:spacing w:after="0" w:afterAutospacing="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Un membre du </w:t>
      </w:r>
      <w:r w:rsidDel="00000000" w:rsidR="00000000" w:rsidRPr="00000000">
        <w:rPr>
          <w:rFonts w:ascii="Lato" w:cs="Lato" w:eastAsia="Lato" w:hAnsi="Lato"/>
          <w:i w:val="1"/>
          <w:color w:val="333333"/>
          <w:sz w:val="24"/>
          <w:szCs w:val="24"/>
          <w:rtl w:val="0"/>
        </w:rPr>
        <w:t xml:space="preserve">National Council of Canadian Muslims</w:t>
      </w:r>
      <w:r w:rsidDel="00000000" w:rsidR="00000000" w:rsidRPr="00000000">
        <w:rPr>
          <w:rFonts w:ascii="Lato" w:cs="Lato" w:eastAsia="Lato" w:hAnsi="Lato"/>
          <w:color w:val="333333"/>
          <w:sz w:val="24"/>
          <w:szCs w:val="24"/>
          <w:rtl w:val="0"/>
        </w:rPr>
        <w:t xml:space="preserve"> ou un.e délégué.e; </w:t>
      </w:r>
    </w:p>
    <w:p w:rsidR="00000000" w:rsidDel="00000000" w:rsidP="00000000" w:rsidRDefault="00000000" w:rsidRPr="00000000" w14:paraId="00000042">
      <w:pPr>
        <w:numPr>
          <w:ilvl w:val="0"/>
          <w:numId w:val="4"/>
        </w:numPr>
        <w:spacing w:after="720" w:lineRule="auto"/>
        <w:ind w:left="1440" w:hanging="360"/>
        <w:rPr>
          <w:rFonts w:ascii="Lato" w:cs="Lato" w:eastAsia="Lato" w:hAnsi="Lato"/>
        </w:rPr>
      </w:pPr>
      <w:r w:rsidDel="00000000" w:rsidR="00000000" w:rsidRPr="00000000">
        <w:rPr>
          <w:rFonts w:ascii="Lato" w:cs="Lato" w:eastAsia="Lato" w:hAnsi="Lato"/>
          <w:color w:val="333333"/>
          <w:sz w:val="24"/>
          <w:szCs w:val="24"/>
          <w:rtl w:val="0"/>
        </w:rPr>
        <w:t xml:space="preserve">Deux membres du corps professoral du domaine des études en communication possédant une expertise reconnue dans le domaine des médias et de la diversité.</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360" w:lineRule="auto"/>
        <w:rPr>
          <w:rFonts w:ascii="Lato" w:cs="Lato" w:eastAsia="Lato" w:hAnsi="Lato"/>
          <w:i w:val="1"/>
          <w:color w:val="333333"/>
          <w:sz w:val="24"/>
          <w:szCs w:val="24"/>
        </w:rPr>
      </w:pPr>
      <w:r w:rsidDel="00000000" w:rsidR="00000000" w:rsidRPr="00000000">
        <w:rPr>
          <w:rFonts w:ascii="Lato" w:cs="Lato" w:eastAsia="Lato" w:hAnsi="Lato"/>
          <w:i w:val="1"/>
          <w:color w:val="333333"/>
          <w:sz w:val="24"/>
          <w:szCs w:val="24"/>
          <w:rtl w:val="0"/>
        </w:rPr>
        <w:t xml:space="preserve">Mis à jour octobre 2024</w:t>
      </w:r>
    </w:p>
    <w:p w:rsidR="00000000" w:rsidDel="00000000" w:rsidP="00000000" w:rsidRDefault="00000000" w:rsidRPr="00000000" w14:paraId="00000044">
      <w:pPr>
        <w:rPr>
          <w:rFonts w:ascii="Lato" w:cs="Lato" w:eastAsia="Lato" w:hAnsi="La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